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Проект организации строительства (ПОС)</w:t>
      </w:r>
    </w:p>
    <w:p>
      <w:r>
        <w:rPr>
          <w:b/>
          <w:sz w:val="28"/>
        </w:rPr>
        <w:t>Благоустройство территории. Тестовый пример для агента «AI-сметчик»</w:t>
      </w:r>
    </w:p>
    <w:p>
      <w:r>
        <w:t>Место строительства: Липецкая область (регион 48). Уровень цен: 1 квартал 2025 г.</w:t>
      </w:r>
    </w:p>
    <w:p>
      <w:r>
        <w:rPr>
          <w:b/>
        </w:rPr>
        <w:t>1. Характеристика района строительства и условия производства работ</w:t>
      </w:r>
    </w:p>
    <w:p>
      <w:r>
        <w:t>Объект расположен в г. Липецке (Липецкая область). Климатический район строительства — IIВ по СП 131.13330.2020. Среднегодовая температура воздуха составляет +5,4 °С. Температура наиболее холодной пятидневки (обеспеченность 0,92) равна минус 27 °С, абсолютный минимум температуры воздуха минус 40 °С. Нормативная глубина сезонного промерзания грунта — 1,4 м. Сейсмичность района менее 6 баллов. Рельеф площадки спокойный.</w:t>
      </w:r>
    </w:p>
    <w:p>
      <w:r>
        <w:t>Работы выполняются вне действующего предприятия. Строительная площадка не стеснена условиями плотной городской застройки, подъезд свободный. Производство работ принято подрядным способом в одну смену с комплексной механизацией.</w:t>
      </w:r>
    </w:p>
    <w:p>
      <w:r>
        <w:rPr>
          <w:b/>
        </w:rPr>
        <w:t>2. Транспортная схема и обеспечение строительными материалами</w:t>
      </w:r>
    </w:p>
    <w:p>
      <w:r>
        <w:t>Доставка инертных материалов и конструкций на площадку осуществляется автомобильным транспортом с предприятий стройиндустрии Липецкой области. Плечи перевозки основных материалов приведены в таблице 2.1. На выезде со стройплощадки предусмотрен пункт мойки колёс автотранспорта.</w:t>
      </w:r>
    </w:p>
    <w:p>
      <w:r>
        <w:t>Таблица 2.1. Плечи перевозки основных материалов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Материал</w:t>
            </w:r>
          </w:p>
        </w:tc>
        <w:tc>
          <w:tcPr>
            <w:tcW w:type="dxa" w:w="2880"/>
          </w:tcPr>
          <w:p>
            <w:r>
              <w:t>Источник (карьер/завод)</w:t>
            </w:r>
          </w:p>
        </w:tc>
        <w:tc>
          <w:tcPr>
            <w:tcW w:type="dxa" w:w="2880"/>
          </w:tcPr>
          <w:p>
            <w:r>
              <w:t>Плечо возки, км</w:t>
            </w:r>
          </w:p>
        </w:tc>
      </w:tr>
      <w:tr>
        <w:tc>
          <w:tcPr>
            <w:tcW w:type="dxa" w:w="2880"/>
          </w:tcPr>
          <w:p>
            <w:r>
              <w:t>Щебень фракции 40–70 мм М600, М800 (ГОСТ 8267-93)</w:t>
            </w:r>
          </w:p>
        </w:tc>
        <w:tc>
          <w:tcPr>
            <w:tcW w:type="dxa" w:w="2880"/>
          </w:tcPr>
          <w:p>
            <w:r>
              <w:t>ООО «Липецкнеруд», Липецкая обл., с. Сокольское, ул. Заводская, 1</w:t>
            </w:r>
          </w:p>
        </w:tc>
        <w:tc>
          <w:tcPr>
            <w:tcW w:type="dxa" w:w="2880"/>
          </w:tcPr>
          <w:p>
            <w:r>
              <w:t>32</w:t>
            </w:r>
          </w:p>
        </w:tc>
      </w:tr>
      <w:tr>
        <w:tc>
          <w:tcPr>
            <w:tcW w:type="dxa" w:w="2880"/>
          </w:tcPr>
          <w:p>
            <w:r>
              <w:t>Песок природный для строительных работ II класса, средний</w:t>
            </w:r>
          </w:p>
        </w:tc>
        <w:tc>
          <w:tcPr>
            <w:tcW w:type="dxa" w:w="2880"/>
          </w:tcPr>
          <w:p>
            <w:r>
              <w:t>карьер, Липецкая обл., Грязинский р-н, с. Казинка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Смеси асфальтобетонные А16 ВН, А22 НН на БНД</w:t>
            </w:r>
          </w:p>
        </w:tc>
        <w:tc>
          <w:tcPr>
            <w:tcW w:type="dxa" w:w="2880"/>
          </w:tcPr>
          <w:p>
            <w:r>
              <w:t>АБЗ, г. Липецк, ул. Ковалёва, 129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Эмульсия битумно-дорожная</w:t>
            </w:r>
          </w:p>
        </w:tc>
        <w:tc>
          <w:tcPr>
            <w:tcW w:type="dxa" w:w="2880"/>
          </w:tcPr>
          <w:p>
            <w:r>
              <w:t>нефтебаза, г. Липецк, Юго-Западная промзона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Вывоз растительного грунта и строительного мусора</w:t>
            </w:r>
          </w:p>
        </w:tc>
        <w:tc>
          <w:tcPr>
            <w:tcW w:type="dxa" w:w="2880"/>
          </w:tcPr>
          <w:p>
            <w:r>
              <w:t>полигон ТБО, Липецкий р-н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</w:tbl>
    <w:p>
      <w:r>
        <w:rPr>
          <w:b/>
        </w:rPr>
        <w:t>3. Инженерно-геологические условия</w:t>
      </w:r>
    </w:p>
    <w:p>
      <w:r>
        <w:t>Грунты площадки представлены суглинками полутвёрдыми (инженерно-геологический элемент ИГЭ № 2) и относятся ко 2 группе грунтов по трудности разработки. Разработка грунта ведётся экскаватором с недобором до проектной отметки 10 см; доработка недоборов производится вручную. Уровень грунтовых вод залегает ниже отметок заложения оснований дорожных одежд, водопонижение не требуется.</w:t>
      </w:r>
    </w:p>
    <w:p>
      <w:r>
        <w:rPr>
          <w:b/>
        </w:rPr>
        <w:t>4. Организационно-технологическая последовательность работ</w:t>
      </w:r>
    </w:p>
    <w:p>
      <w:r>
        <w:t>4.1. Подготовительные и земляные работы. До начала основных работ выполняется планировка территории бульдозером до проектных отметок. Устройство корыта под дорожные одежды и разработка грунта в отвал производятся экскаватором с ковшом 0,65 м3 (группа грунта 2), доработка недоборов — вручную. Основание уплотняется прицепными катками на пневмоколёсном ходу. Растительный грунт срезается, грузится вручную на автосамосвалы и вывозится на отвал (плечо возки 10 км).</w:t>
      </w:r>
    </w:p>
    <w:p>
      <w:r>
        <w:t>4.2. Устройство дорожек и площадок. По уплотнённому основанию укладывается прослойка из нетканого синтетического материала (геотекстиль), отсыпаются песчаный подстилающий слой и щебёночное основание толщиной 12–15 см. Покрытие пешеходных дорожек и площадок — из бетонной тротуарной плитки толщиной 60 и 80 мм на сухой цементно-песчаной смеси; покрытие проездов — из горячих асфальтобетонных смесей А16 ВН и А22 НН на БНД с предварительным розливом битумной эмульсии.</w:t>
      </w:r>
    </w:p>
    <w:p>
      <w:r>
        <w:t>4.3. Бортовые камни и ограждение территории. Бортовые камни марки БР устанавливаются на бетонное основание. Ограждение устраивается из металлических столбов высотой до 4 м с погружением в бетонные стаканы, с установкой распашных ворот; сваи столбов — по щебёночному уширению оснований скважин.</w:t>
      </w:r>
    </w:p>
    <w:p>
      <w:r>
        <w:rPr>
          <w:b/>
        </w:rPr>
        <w:t>5. Материалы и конструкции</w:t>
      </w:r>
    </w:p>
    <w:p>
      <w:r>
        <w:t>Бетон для оснований бортовых камней — тяжёлый бетон класса В22,5 (М300), морозостойкость F150, водонепроницаемость W4. Бетон стаканов металлических столбов и ворот — класса В20 (М250). Раствор кладочный цементный марки М100.</w:t>
      </w:r>
    </w:p>
    <w:p>
      <w:r>
        <w:rPr>
          <w:b/>
        </w:rPr>
        <w:t>6. Продолжительность строительства</w:t>
      </w:r>
    </w:p>
    <w:p>
      <w:r>
        <w:t>Общая продолжительность строительства принята равной 4 месяцам, в том числе подготовительный период — 1 месяц. Работы ведутся преимущественно в тёплый период года в одну смену.</w:t>
      </w:r>
    </w:p>
    <w:p>
      <w:r>
        <w:rPr>
          <w:b/>
        </w:rPr>
        <w:t>7. Потребность во временных зданиях и сооружениях</w:t>
      </w:r>
    </w:p>
    <w:p>
      <w:r>
        <w:t>Для нужд строительства предусматриваются временные здания и сооружения контейнерного (мобильного) типа: прорабская-бытовка, помещение для обогрева рабочих, биотуалет, открытая площадка складирования инертных материалов, временное ограждение строительной площадки и пункт мойки колёс.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